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2C9DD82A" w:rsidR="00340E10" w:rsidRDefault="00340E10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3EA5F9FB" w14:textId="77777777" w:rsidR="00340E10" w:rsidRPr="00340E10" w:rsidRDefault="00340E10" w:rsidP="00340E10">
      <w:pPr>
        <w:rPr>
          <w:lang w:val="fr-FR"/>
        </w:rPr>
      </w:pPr>
    </w:p>
    <w:p w14:paraId="76DF9A21" w14:textId="77777777" w:rsidR="00340E10" w:rsidRPr="00340E10" w:rsidRDefault="00340E10" w:rsidP="00340E10">
      <w:pPr>
        <w:rPr>
          <w:lang w:val="fr-FR"/>
        </w:rPr>
      </w:pPr>
    </w:p>
    <w:p w14:paraId="698AD74F" w14:textId="77777777" w:rsidR="00340E10" w:rsidRPr="00340E10" w:rsidRDefault="00340E10" w:rsidP="00340E10">
      <w:pPr>
        <w:rPr>
          <w:lang w:val="fr-FR"/>
        </w:rPr>
      </w:pPr>
    </w:p>
    <w:p w14:paraId="6A7D7F2D" w14:textId="77777777" w:rsidR="00340E10" w:rsidRPr="00340E10" w:rsidRDefault="00340E10" w:rsidP="00340E10">
      <w:pPr>
        <w:rPr>
          <w:lang w:val="fr-FR"/>
        </w:rPr>
      </w:pPr>
    </w:p>
    <w:p w14:paraId="5ED7290E" w14:textId="77777777" w:rsidR="00340E10" w:rsidRPr="00340E10" w:rsidRDefault="00340E10" w:rsidP="00340E10">
      <w:pPr>
        <w:rPr>
          <w:lang w:val="fr-FR"/>
        </w:rPr>
      </w:pPr>
    </w:p>
    <w:p w14:paraId="117051BC" w14:textId="77777777" w:rsidR="00340E10" w:rsidRPr="00340E10" w:rsidRDefault="00340E10" w:rsidP="00340E10">
      <w:pPr>
        <w:rPr>
          <w:lang w:val="fr-FR"/>
        </w:rPr>
      </w:pPr>
    </w:p>
    <w:p w14:paraId="17508BA3" w14:textId="4D135E37" w:rsidR="00340E10" w:rsidRPr="00340E10" w:rsidRDefault="00340E10" w:rsidP="00340E10">
      <w:pPr>
        <w:rPr>
          <w:lang w:val="fr-FR"/>
        </w:rPr>
      </w:pPr>
    </w:p>
    <w:p w14:paraId="7679415D" w14:textId="2BD476C5" w:rsidR="00340E10" w:rsidRPr="00340E10" w:rsidRDefault="00340E10" w:rsidP="00340E10">
      <w:pPr>
        <w:tabs>
          <w:tab w:val="left" w:pos="1942"/>
        </w:tabs>
        <w:rPr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D76CB" wp14:editId="5AD97E64">
                <wp:simplePos x="0" y="0"/>
                <wp:positionH relativeFrom="page">
                  <wp:posOffset>505637</wp:posOffset>
                </wp:positionH>
                <wp:positionV relativeFrom="page">
                  <wp:posOffset>2514482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C3FA" w14:textId="77777777" w:rsidR="00340E10" w:rsidRPr="00BE42FA" w:rsidRDefault="00340E10" w:rsidP="00340E10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7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8pt;margin-top:198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LwgIAANw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241C3FA" w14:textId="77777777" w:rsidR="00340E10" w:rsidRPr="00BE42FA" w:rsidRDefault="00340E10" w:rsidP="00340E10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A504FB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bookmarkStart w:id="0" w:name="_GoBack"/>
      <w:bookmarkEnd w:id="0"/>
      <w:r w:rsidRPr="004B12A3">
        <w:rPr>
          <w:rFonts w:ascii="Arial" w:hAnsi="Arial" w:cs="Arial"/>
          <w:i/>
          <w:sz w:val="22"/>
          <w:szCs w:val="22"/>
          <w:u w:val="single"/>
          <w:lang w:val="fr-FR"/>
        </w:rPr>
        <w:t>Données et chiffres techniques</w:t>
      </w:r>
    </w:p>
    <w:p w14:paraId="69BCCA47" w14:textId="51D6E55A" w:rsidR="00C57D9A" w:rsidRPr="004B12A3" w:rsidRDefault="00EE4934" w:rsidP="00C57D9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12A3">
        <w:rPr>
          <w:rFonts w:ascii="Arial" w:hAnsi="Arial" w:cs="Arial"/>
          <w:b/>
          <w:sz w:val="22"/>
          <w:szCs w:val="22"/>
          <w:lang w:val="fr-FR"/>
        </w:rPr>
        <w:t>« Rulantica – L</w:t>
      </w:r>
      <w:r w:rsidR="00C57D9A" w:rsidRPr="004B12A3">
        <w:rPr>
          <w:rFonts w:ascii="Arial" w:hAnsi="Arial" w:cs="Arial"/>
          <w:b/>
          <w:sz w:val="22"/>
          <w:szCs w:val="22"/>
          <w:lang w:val="fr-FR"/>
        </w:rPr>
        <w:t>e nouvel univers aquatique indoor d’Europa-Park »</w:t>
      </w:r>
    </w:p>
    <w:p w14:paraId="0AA8EF5F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DF3C05E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En plus des 25 attractions aquatiques, dont 17 toboggans, une machinerie technique innovante se cache dans les coulisses de l’univers aquatique indoor.</w:t>
      </w:r>
    </w:p>
    <w:p w14:paraId="5B279A1B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194FF459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12A3">
        <w:rPr>
          <w:rFonts w:ascii="Arial" w:hAnsi="Arial" w:cs="Arial"/>
          <w:b/>
          <w:sz w:val="22"/>
          <w:szCs w:val="22"/>
          <w:lang w:val="fr-FR"/>
        </w:rPr>
        <w:t xml:space="preserve">Systèmes de gestion technique du bâtiment : </w:t>
      </w:r>
    </w:p>
    <w:p w14:paraId="2B5DBB72" w14:textId="062246C9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 xml:space="preserve">4 systèmes </w:t>
      </w:r>
      <w:r w:rsidR="00EE4934" w:rsidRPr="004B12A3">
        <w:rPr>
          <w:rFonts w:ascii="Arial" w:hAnsi="Arial" w:cs="Arial"/>
          <w:sz w:val="22"/>
          <w:szCs w:val="22"/>
          <w:lang w:val="fr-FR"/>
        </w:rPr>
        <w:t>pour la</w:t>
      </w:r>
      <w:r w:rsidRPr="004B12A3">
        <w:rPr>
          <w:rFonts w:ascii="Arial" w:hAnsi="Arial" w:cs="Arial"/>
          <w:sz w:val="22"/>
          <w:szCs w:val="22"/>
          <w:lang w:val="fr-FR"/>
        </w:rPr>
        <w:t xml:space="preserve"> commande </w:t>
      </w:r>
      <w:r w:rsidR="00EE4934" w:rsidRPr="004B12A3">
        <w:rPr>
          <w:rFonts w:ascii="Arial" w:hAnsi="Arial" w:cs="Arial"/>
          <w:sz w:val="22"/>
          <w:szCs w:val="22"/>
          <w:lang w:val="fr-FR"/>
        </w:rPr>
        <w:t xml:space="preserve">du </w:t>
      </w:r>
      <w:r w:rsidRPr="004B12A3">
        <w:rPr>
          <w:rFonts w:ascii="Arial" w:hAnsi="Arial" w:cs="Arial"/>
          <w:sz w:val="22"/>
          <w:szCs w:val="22"/>
          <w:lang w:val="fr-FR"/>
        </w:rPr>
        <w:t xml:space="preserve">chauffage, </w:t>
      </w:r>
      <w:r w:rsidR="00EE4934" w:rsidRPr="004B12A3">
        <w:rPr>
          <w:rFonts w:ascii="Arial" w:hAnsi="Arial" w:cs="Arial"/>
          <w:sz w:val="22"/>
          <w:szCs w:val="22"/>
          <w:lang w:val="fr-FR"/>
        </w:rPr>
        <w:t xml:space="preserve">de la ventilation et du </w:t>
      </w:r>
      <w:r w:rsidRPr="004B12A3">
        <w:rPr>
          <w:rFonts w:ascii="Arial" w:hAnsi="Arial" w:cs="Arial"/>
          <w:sz w:val="22"/>
          <w:szCs w:val="22"/>
          <w:lang w:val="fr-FR"/>
        </w:rPr>
        <w:t xml:space="preserve">refroidissement, la visualisation de la </w:t>
      </w:r>
      <w:r w:rsidR="00EE4934" w:rsidRPr="004B12A3">
        <w:rPr>
          <w:rFonts w:ascii="Arial" w:hAnsi="Arial" w:cs="Arial"/>
          <w:sz w:val="22"/>
          <w:szCs w:val="22"/>
          <w:lang w:val="fr-FR"/>
        </w:rPr>
        <w:t>qualité</w:t>
      </w:r>
      <w:r w:rsidRPr="004B12A3">
        <w:rPr>
          <w:rFonts w:ascii="Arial" w:hAnsi="Arial" w:cs="Arial"/>
          <w:sz w:val="22"/>
          <w:szCs w:val="22"/>
          <w:lang w:val="fr-FR"/>
        </w:rPr>
        <w:t xml:space="preserve"> des eaux de baignade, la</w:t>
      </w:r>
      <w:r w:rsidR="00EE4934" w:rsidRPr="004B12A3">
        <w:rPr>
          <w:rFonts w:ascii="Arial" w:hAnsi="Arial" w:cs="Arial"/>
          <w:sz w:val="22"/>
          <w:szCs w:val="22"/>
          <w:lang w:val="fr-FR"/>
        </w:rPr>
        <w:t xml:space="preserve"> surveillance opérationnelle des </w:t>
      </w:r>
      <w:r w:rsidRPr="004B12A3">
        <w:rPr>
          <w:rFonts w:ascii="Arial" w:hAnsi="Arial" w:cs="Arial"/>
          <w:sz w:val="22"/>
          <w:szCs w:val="22"/>
          <w:lang w:val="fr-FR"/>
        </w:rPr>
        <w:t xml:space="preserve">douches et la visualisation </w:t>
      </w:r>
      <w:r w:rsidR="00EE4934" w:rsidRPr="004B12A3">
        <w:rPr>
          <w:rFonts w:ascii="Arial" w:hAnsi="Arial" w:cs="Arial"/>
          <w:sz w:val="22"/>
          <w:szCs w:val="22"/>
          <w:lang w:val="fr-FR"/>
        </w:rPr>
        <w:t>des dispositifs d’éclairage et informatiques.</w:t>
      </w:r>
    </w:p>
    <w:p w14:paraId="45ECD855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2A341F81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12A3">
        <w:rPr>
          <w:rFonts w:ascii="Arial" w:hAnsi="Arial" w:cs="Arial"/>
          <w:b/>
          <w:sz w:val="22"/>
          <w:szCs w:val="22"/>
          <w:lang w:val="fr-FR"/>
        </w:rPr>
        <w:t xml:space="preserve">Circuits d'eau : </w:t>
      </w:r>
    </w:p>
    <w:p w14:paraId="2CA95D8C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10 circuits</w:t>
      </w:r>
    </w:p>
    <w:p w14:paraId="78769AD9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4386 m³ d’eaux de baignade en mouvement</w:t>
      </w:r>
    </w:p>
    <w:p w14:paraId="791F729C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467CCD92" w14:textId="6C023720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12A3">
        <w:rPr>
          <w:rFonts w:ascii="Arial" w:hAnsi="Arial" w:cs="Arial"/>
          <w:b/>
          <w:sz w:val="22"/>
          <w:szCs w:val="22"/>
          <w:lang w:val="fr-FR"/>
        </w:rPr>
        <w:t xml:space="preserve">Technologie </w:t>
      </w:r>
      <w:r w:rsidR="00EE4934" w:rsidRPr="004B12A3">
        <w:rPr>
          <w:rFonts w:ascii="Arial" w:hAnsi="Arial" w:cs="Arial"/>
          <w:b/>
          <w:sz w:val="22"/>
          <w:szCs w:val="22"/>
          <w:lang w:val="fr-FR"/>
        </w:rPr>
        <w:t xml:space="preserve">de gestion </w:t>
      </w:r>
      <w:r w:rsidRPr="004B12A3">
        <w:rPr>
          <w:rFonts w:ascii="Arial" w:hAnsi="Arial" w:cs="Arial"/>
          <w:b/>
          <w:sz w:val="22"/>
          <w:szCs w:val="22"/>
          <w:lang w:val="fr-FR"/>
        </w:rPr>
        <w:t xml:space="preserve">des eaux de baignade : </w:t>
      </w:r>
    </w:p>
    <w:p w14:paraId="3CE74077" w14:textId="0E963F56" w:rsidR="00C57D9A" w:rsidRPr="004B12A3" w:rsidRDefault="00EE4934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Le c</w:t>
      </w:r>
      <w:r w:rsidR="00C57D9A" w:rsidRPr="004B12A3">
        <w:rPr>
          <w:rFonts w:ascii="Arial" w:hAnsi="Arial" w:cs="Arial"/>
          <w:sz w:val="22"/>
          <w:szCs w:val="22"/>
          <w:lang w:val="fr-FR"/>
        </w:rPr>
        <w:t>œur de Rulantica</w:t>
      </w:r>
    </w:p>
    <w:p w14:paraId="0EA0FAB0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11 circuits, dont 10 avec filtres sans pression et 1 avec filtre à sable sous pression</w:t>
      </w:r>
    </w:p>
    <w:p w14:paraId="50BDE32A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1FC0A910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12A3">
        <w:rPr>
          <w:rFonts w:ascii="Arial" w:hAnsi="Arial" w:cs="Arial"/>
          <w:b/>
          <w:sz w:val="22"/>
          <w:szCs w:val="22"/>
          <w:lang w:val="fr-FR"/>
        </w:rPr>
        <w:t xml:space="preserve">Systèmes de ventilation : </w:t>
      </w:r>
    </w:p>
    <w:p w14:paraId="3D228662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29 au total, dont 19 de grande taille (5 000 – 65 000 m³/h)</w:t>
      </w:r>
    </w:p>
    <w:p w14:paraId="708A2096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6 unités de ventilation pour l'aération et l’évacuation d’air avec 65 000 m³/h chacune</w:t>
      </w:r>
    </w:p>
    <w:p w14:paraId="7E11032A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Température ambiante souhaitée : 32 - 34 degrés</w:t>
      </w:r>
    </w:p>
    <w:p w14:paraId="6DB35904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146AEAE9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12A3">
        <w:rPr>
          <w:rFonts w:ascii="Arial" w:hAnsi="Arial" w:cs="Arial"/>
          <w:b/>
          <w:sz w:val="22"/>
          <w:szCs w:val="22"/>
          <w:lang w:val="fr-FR"/>
        </w:rPr>
        <w:t xml:space="preserve">Alimentation en énergie : </w:t>
      </w:r>
    </w:p>
    <w:p w14:paraId="64C2BB3E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2 chaudières de charge de pointe d’une capacité de 1,95 mégawatt chacune</w:t>
      </w:r>
    </w:p>
    <w:p w14:paraId="1D96281F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Approvisionnement de « Rulantica » et de l'hôtel « Krønasår »</w:t>
      </w:r>
    </w:p>
    <w:p w14:paraId="248DE4A3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7288FD9B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B12A3">
        <w:rPr>
          <w:rFonts w:ascii="Arial" w:hAnsi="Arial" w:cs="Arial"/>
          <w:b/>
          <w:sz w:val="22"/>
          <w:szCs w:val="22"/>
          <w:lang w:val="fr-FR"/>
        </w:rPr>
        <w:t xml:space="preserve">Centrales de cogénération : </w:t>
      </w:r>
    </w:p>
    <w:p w14:paraId="0C760C96" w14:textId="77777777" w:rsidR="00C57D9A" w:rsidRPr="004B12A3" w:rsidRDefault="00C57D9A" w:rsidP="00C57D9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2 unités à Rulantica (4 centrales au total)</w:t>
      </w:r>
    </w:p>
    <w:p w14:paraId="4836F162" w14:textId="27CD91EA" w:rsidR="00E92B1B" w:rsidRPr="004B12A3" w:rsidRDefault="00C57D9A" w:rsidP="00C57D9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4B12A3">
        <w:rPr>
          <w:rFonts w:ascii="Arial" w:hAnsi="Arial" w:cs="Arial"/>
          <w:sz w:val="22"/>
          <w:szCs w:val="22"/>
          <w:lang w:val="fr-FR"/>
        </w:rPr>
        <w:t>Production de 15,5 millions de kilowattheures par an, soit la consommation annuelle de 4 200 à 5 600 ménages</w:t>
      </w:r>
    </w:p>
    <w:p w14:paraId="417E937A" w14:textId="77777777" w:rsidR="00EE4934" w:rsidRPr="004B12A3" w:rsidRDefault="00EE4934" w:rsidP="00C57D9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24C007B9" w14:textId="77777777" w:rsidR="00EE4934" w:rsidRPr="004B12A3" w:rsidRDefault="00EE4934" w:rsidP="00C57D9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20457C58" w14:textId="77777777" w:rsidR="00EE4934" w:rsidRDefault="00EE4934" w:rsidP="00EE4934">
      <w:pPr>
        <w:spacing w:line="288" w:lineRule="auto"/>
        <w:ind w:left="1361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4B12A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lastRenderedPageBreak/>
        <w:t xml:space="preserve">Horaires d’ouverture de Rulantica : tous les jours de 10h00 à 22h00 (accès dès 9h00 pour les clients des hôtels d’Europa-Park). En raison d’une capacité limitée, les billets d’entrée devront être </w:t>
      </w:r>
      <w:r w:rsidRPr="004B12A3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achetés uniquement au préalable via la billetterie en ligne tickets.rulantica.fr. Plus d’informations au 00 49 78 22 </w:t>
      </w:r>
      <w:r w:rsidRPr="004B12A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77 66 55 ou sur www.rulantica.fr</w:t>
      </w:r>
    </w:p>
    <w:p w14:paraId="2FEC88B6" w14:textId="77777777" w:rsidR="00EE4934" w:rsidRPr="00C57D9A" w:rsidRDefault="00EE4934" w:rsidP="00C57D9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sectPr w:rsidR="00EE4934" w:rsidRPr="00C57D9A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956C" w14:textId="77777777" w:rsidR="00133CE7" w:rsidRDefault="00133CE7">
      <w:r>
        <w:separator/>
      </w:r>
    </w:p>
  </w:endnote>
  <w:endnote w:type="continuationSeparator" w:id="0">
    <w:p w14:paraId="11986C01" w14:textId="77777777" w:rsidR="00133CE7" w:rsidRDefault="0013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B237" w14:textId="77777777" w:rsidR="00133CE7" w:rsidRDefault="00133CE7">
      <w:r>
        <w:separator/>
      </w:r>
    </w:p>
  </w:footnote>
  <w:footnote w:type="continuationSeparator" w:id="0">
    <w:p w14:paraId="34AB7987" w14:textId="77777777" w:rsidR="00133CE7" w:rsidRDefault="0013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4AD06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E71"/>
    <w:multiLevelType w:val="hybridMultilevel"/>
    <w:tmpl w:val="CC5EDA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A403974"/>
    <w:multiLevelType w:val="hybridMultilevel"/>
    <w:tmpl w:val="C64E22B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22D1F8C"/>
    <w:multiLevelType w:val="hybridMultilevel"/>
    <w:tmpl w:val="CFBCFE2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E192D"/>
    <w:rsid w:val="000F67FA"/>
    <w:rsid w:val="00105D01"/>
    <w:rsid w:val="00105D1F"/>
    <w:rsid w:val="00131601"/>
    <w:rsid w:val="00132247"/>
    <w:rsid w:val="00133CE7"/>
    <w:rsid w:val="001356C0"/>
    <w:rsid w:val="00173017"/>
    <w:rsid w:val="00174F2C"/>
    <w:rsid w:val="00181D4E"/>
    <w:rsid w:val="001924FA"/>
    <w:rsid w:val="001B52E4"/>
    <w:rsid w:val="001C149D"/>
    <w:rsid w:val="001C1798"/>
    <w:rsid w:val="001D1E5B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40E10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12A3"/>
    <w:rsid w:val="004B7EAF"/>
    <w:rsid w:val="004C1A44"/>
    <w:rsid w:val="004C5845"/>
    <w:rsid w:val="004E4264"/>
    <w:rsid w:val="004E48AA"/>
    <w:rsid w:val="004E4B12"/>
    <w:rsid w:val="004F15DD"/>
    <w:rsid w:val="00503B34"/>
    <w:rsid w:val="00517611"/>
    <w:rsid w:val="005351C7"/>
    <w:rsid w:val="005415ED"/>
    <w:rsid w:val="0054519A"/>
    <w:rsid w:val="00547BCF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B0F3F"/>
    <w:rsid w:val="005C15F6"/>
    <w:rsid w:val="005C27A7"/>
    <w:rsid w:val="005C7175"/>
    <w:rsid w:val="005F5574"/>
    <w:rsid w:val="0060391D"/>
    <w:rsid w:val="00605650"/>
    <w:rsid w:val="00621025"/>
    <w:rsid w:val="0062611C"/>
    <w:rsid w:val="00635A3A"/>
    <w:rsid w:val="0064141F"/>
    <w:rsid w:val="00654EDA"/>
    <w:rsid w:val="006758F2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6E9D"/>
    <w:rsid w:val="00853351"/>
    <w:rsid w:val="0085339A"/>
    <w:rsid w:val="00864741"/>
    <w:rsid w:val="00864A55"/>
    <w:rsid w:val="00874507"/>
    <w:rsid w:val="008822B6"/>
    <w:rsid w:val="00895C5D"/>
    <w:rsid w:val="0089701D"/>
    <w:rsid w:val="008A70E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25406"/>
    <w:rsid w:val="00A26EC7"/>
    <w:rsid w:val="00A37B96"/>
    <w:rsid w:val="00A41749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27348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1125D"/>
    <w:rsid w:val="00C12851"/>
    <w:rsid w:val="00C21974"/>
    <w:rsid w:val="00C52108"/>
    <w:rsid w:val="00C545CD"/>
    <w:rsid w:val="00C57BB8"/>
    <w:rsid w:val="00C57D9A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94CF5"/>
    <w:rsid w:val="00D97493"/>
    <w:rsid w:val="00DC51A9"/>
    <w:rsid w:val="00DD4EDF"/>
    <w:rsid w:val="00DD536D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E4934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1692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lea</cp:lastModifiedBy>
  <cp:revision>2</cp:revision>
  <cp:lastPrinted>2016-11-17T10:05:00Z</cp:lastPrinted>
  <dcterms:created xsi:type="dcterms:W3CDTF">2019-12-09T15:03:00Z</dcterms:created>
  <dcterms:modified xsi:type="dcterms:W3CDTF">2019-12-09T15:03:00Z</dcterms:modified>
</cp:coreProperties>
</file>